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7FC55511"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Pr="00DA12F7">
        <w:rPr>
          <w:rFonts w:ascii="Arial" w:hAnsi="Arial" w:cs="Arial"/>
          <w:b/>
          <w:sz w:val="24"/>
        </w:rPr>
        <w:tab/>
        <w:t>R1-</w:t>
      </w:r>
      <w:r w:rsidR="004A7390">
        <w:rPr>
          <w:rFonts w:ascii="Arial" w:hAnsi="Arial" w:cs="Arial"/>
          <w:b/>
          <w:sz w:val="24"/>
        </w:rPr>
        <w:t>17</w:t>
      </w:r>
      <w:r w:rsidR="00554B3D">
        <w:rPr>
          <w:rFonts w:ascii="Arial" w:hAnsi="Arial" w:cs="Arial"/>
          <w:b/>
          <w:sz w:val="24"/>
        </w:rPr>
        <w:t>02628</w:t>
      </w:r>
    </w:p>
    <w:p w14:paraId="50FFBAF8" w14:textId="75C31299" w:rsidR="00116B51" w:rsidRPr="00DA12F7" w:rsidRDefault="00365872" w:rsidP="00116B51">
      <w:pPr>
        <w:tabs>
          <w:tab w:val="right" w:pos="9630"/>
        </w:tabs>
        <w:spacing w:after="0"/>
        <w:rPr>
          <w:rFonts w:ascii="Arial" w:hAnsi="Arial" w:cs="Arial"/>
          <w:b/>
          <w:sz w:val="24"/>
          <w:szCs w:val="24"/>
        </w:rPr>
      </w:pPr>
      <w:r>
        <w:rPr>
          <w:rFonts w:ascii="Arial" w:hAnsi="Arial" w:cs="Arial"/>
          <w:b/>
          <w:sz w:val="24"/>
          <w:szCs w:val="24"/>
        </w:rPr>
        <w:t>February</w:t>
      </w:r>
      <w:r w:rsidR="00116B51">
        <w:rPr>
          <w:rFonts w:ascii="Arial" w:hAnsi="Arial" w:cs="Arial"/>
          <w:b/>
          <w:sz w:val="24"/>
          <w:szCs w:val="24"/>
        </w:rPr>
        <w:t xml:space="preserve"> </w:t>
      </w:r>
      <w:r w:rsidR="00FE6782">
        <w:rPr>
          <w:rFonts w:ascii="Arial" w:hAnsi="Arial" w:cs="Arial"/>
          <w:b/>
          <w:sz w:val="24"/>
          <w:szCs w:val="24"/>
        </w:rPr>
        <w:t>1</w:t>
      </w:r>
      <w:r w:rsidR="004A7390">
        <w:rPr>
          <w:rFonts w:ascii="Arial" w:hAnsi="Arial" w:cs="Arial"/>
          <w:b/>
          <w:sz w:val="24"/>
          <w:szCs w:val="24"/>
        </w:rPr>
        <w:t>3</w:t>
      </w:r>
      <w:r w:rsidR="00FE6782" w:rsidRPr="00FE6782">
        <w:rPr>
          <w:rFonts w:ascii="Arial" w:hAnsi="Arial" w:cs="Arial"/>
          <w:b/>
          <w:sz w:val="24"/>
          <w:szCs w:val="24"/>
          <w:vertAlign w:val="superscript"/>
        </w:rPr>
        <w:t>th</w:t>
      </w:r>
      <w:r w:rsidR="00FE6782">
        <w:rPr>
          <w:rFonts w:ascii="Arial" w:hAnsi="Arial" w:cs="Arial"/>
          <w:b/>
          <w:sz w:val="24"/>
          <w:szCs w:val="24"/>
        </w:rPr>
        <w:t xml:space="preserve"> – 1</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114C16E" w:rsidR="00116B51" w:rsidRPr="00DA12F7" w:rsidRDefault="004A7390" w:rsidP="00116B51">
      <w:pPr>
        <w:rPr>
          <w:rFonts w:ascii="Arial" w:hAnsi="Arial" w:cs="Arial"/>
          <w:b/>
          <w:sz w:val="24"/>
          <w:szCs w:val="24"/>
        </w:rPr>
      </w:pPr>
      <w:r>
        <w:rPr>
          <w:rFonts w:ascii="Arial" w:hAnsi="Arial" w:cs="Arial"/>
          <w:b/>
          <w:sz w:val="24"/>
          <w:szCs w:val="24"/>
        </w:rPr>
        <w:t>Athens</w:t>
      </w:r>
      <w:r w:rsidR="00116B51">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C9C3E7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F4FC8">
        <w:rPr>
          <w:rFonts w:ascii="Arial" w:hAnsi="Arial"/>
          <w:sz w:val="24"/>
        </w:rPr>
        <w:t>8.1.3.1.</w:t>
      </w:r>
      <w:r w:rsidR="00ED4319">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C0AD79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5D47FA" w:rsidRPr="005D47FA">
        <w:rPr>
          <w:rFonts w:ascii="Arial" w:hAnsi="Arial"/>
          <w:sz w:val="24"/>
        </w:rPr>
        <w:t>PDCCH control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5824C9AE" w14:textId="2297398D" w:rsidR="00916DBA" w:rsidRDefault="00916DBA" w:rsidP="005D47FA">
      <w:pPr>
        <w:rPr>
          <w:lang w:val="en-GB"/>
        </w:rPr>
      </w:pPr>
      <w:r>
        <w:rPr>
          <w:lang w:val="en-GB"/>
        </w:rPr>
        <w:t>In RAN1 NR AdHoc #1, the following agreements have been reached for NR control resource set, control search space and group common PDCCH.</w:t>
      </w:r>
    </w:p>
    <w:p w14:paraId="52F06AEF"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6C4327F1" w14:textId="77777777" w:rsidR="00916DBA" w:rsidRPr="00916DBA" w:rsidRDefault="00916DBA" w:rsidP="00916DBA">
      <w:pPr>
        <w:pStyle w:val="bullet"/>
      </w:pPr>
      <w:r w:rsidRPr="00916DBA">
        <w:t>A control resource set is defined as a set of REGs under a given numerology</w:t>
      </w:r>
    </w:p>
    <w:p w14:paraId="392FE8E2" w14:textId="77777777" w:rsidR="00916DBA"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Control search space includes at least the following properties</w:t>
      </w:r>
    </w:p>
    <w:p w14:paraId="700E1150" w14:textId="098B1EF9" w:rsidR="00916DBA" w:rsidRPr="00916DBA" w:rsidRDefault="00916DBA" w:rsidP="00916DBA">
      <w:pPr>
        <w:numPr>
          <w:ilvl w:val="1"/>
          <w:numId w:val="31"/>
        </w:numPr>
        <w:overflowPunct/>
        <w:autoSpaceDE/>
        <w:autoSpaceDN/>
        <w:adjustRightInd/>
        <w:spacing w:after="0"/>
        <w:textAlignment w:val="auto"/>
        <w:rPr>
          <w:rFonts w:eastAsia="MS Mincho" w:cs="Arial"/>
          <w:szCs w:val="16"/>
          <w:lang w:eastAsia="ja-JP"/>
        </w:rPr>
      </w:pPr>
      <w:r w:rsidRPr="00916DBA">
        <w:rPr>
          <w:rFonts w:eastAsia="MS Mincho" w:cs="Arial"/>
          <w:szCs w:val="16"/>
          <w:lang w:eastAsia="ja-JP"/>
        </w:rPr>
        <w:t>Aggregation level(s)</w:t>
      </w:r>
    </w:p>
    <w:p w14:paraId="66BB0E04"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Number of decoding candidates for each aggregation level</w:t>
      </w:r>
    </w:p>
    <w:p w14:paraId="3115954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The set of CCEs for each decoding candidate</w:t>
      </w:r>
    </w:p>
    <w:p w14:paraId="240CBF3A"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any of the following properties belong to control resource set or control search space</w:t>
      </w:r>
    </w:p>
    <w:p w14:paraId="1810E645"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Transmission/diversity scheme</w:t>
      </w:r>
    </w:p>
    <w:p w14:paraId="5B5EA282"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CCE to REG mapping</w:t>
      </w:r>
    </w:p>
    <w:p w14:paraId="588D2CF7"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RS structure</w:t>
      </w:r>
    </w:p>
    <w:p w14:paraId="3B02F47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PRB bundling size</w:t>
      </w:r>
    </w:p>
    <w:p w14:paraId="7B697948"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the control resource sets can overlap or not</w:t>
      </w:r>
    </w:p>
    <w:p w14:paraId="185EA942"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FFS: whether the mapping between control resource set and control search space is one-to-one or one-to-many </w:t>
      </w:r>
    </w:p>
    <w:p w14:paraId="74AAE9F1"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0678A3E3" w14:textId="77777777" w:rsidR="00916DBA" w:rsidRDefault="00916DBA" w:rsidP="00916DBA">
      <w:pPr>
        <w:pStyle w:val="bullet"/>
      </w:pPr>
      <w:r w:rsidRPr="00D74F6D">
        <w:t xml:space="preserve">Each candidate of NR DL Control channel search space is composed by </w:t>
      </w:r>
      <w:r w:rsidRPr="00D74F6D">
        <w:rPr>
          <w:i/>
          <w:iCs/>
        </w:rPr>
        <w:t>K</w:t>
      </w:r>
      <w:r w:rsidRPr="00D74F6D">
        <w:t xml:space="preserve"> NR-CCE(s)</w:t>
      </w:r>
    </w:p>
    <w:p w14:paraId="2111D5B7" w14:textId="77777777" w:rsidR="00916DBA" w:rsidRDefault="00916DBA" w:rsidP="00916DBA">
      <w:pPr>
        <w:pStyle w:val="bullet"/>
        <w:numPr>
          <w:ilvl w:val="1"/>
          <w:numId w:val="31"/>
        </w:numPr>
      </w:pPr>
      <w:r w:rsidRPr="00916DBA">
        <w:t>A NR-CCE is defined in fixed number of REGs</w:t>
      </w:r>
    </w:p>
    <w:p w14:paraId="13B63E58" w14:textId="77777777" w:rsidR="00916DBA" w:rsidRDefault="00916DBA" w:rsidP="00916DBA">
      <w:pPr>
        <w:pStyle w:val="bullet"/>
        <w:numPr>
          <w:ilvl w:val="2"/>
          <w:numId w:val="31"/>
        </w:numPr>
      </w:pPr>
      <w:r w:rsidRPr="00916DBA">
        <w:t>FFS: Different REGs can be in the same or different symbols depending on REG to NR-CCE mapping</w:t>
      </w:r>
    </w:p>
    <w:p w14:paraId="15BB97E8" w14:textId="77777777" w:rsidR="00916DBA" w:rsidRDefault="00916DBA" w:rsidP="00916DBA">
      <w:pPr>
        <w:pStyle w:val="bullet"/>
        <w:numPr>
          <w:ilvl w:val="2"/>
          <w:numId w:val="31"/>
        </w:numPr>
      </w:pPr>
      <w:r w:rsidRPr="00916DBA">
        <w:t>FFS: NR-CCE includes the REs assumed for UE-specific DMRS to demodulate that NR-CCE</w:t>
      </w:r>
    </w:p>
    <w:p w14:paraId="7BD8311E" w14:textId="77777777" w:rsidR="00916DBA" w:rsidRDefault="00916DBA" w:rsidP="00916DBA">
      <w:pPr>
        <w:pStyle w:val="bullet"/>
        <w:numPr>
          <w:ilvl w:val="1"/>
          <w:numId w:val="31"/>
        </w:numPr>
      </w:pPr>
      <w:r w:rsidRPr="00916DBA">
        <w:t>FFS: REG to NR-CCE mapping within a control resource set is frequency first, time first or gNB configurable</w:t>
      </w:r>
    </w:p>
    <w:p w14:paraId="682CE118" w14:textId="77777777" w:rsidR="00916DBA" w:rsidRDefault="00916DBA" w:rsidP="00916DBA">
      <w:pPr>
        <w:pStyle w:val="bullet"/>
        <w:numPr>
          <w:ilvl w:val="1"/>
          <w:numId w:val="31"/>
        </w:numPr>
      </w:pPr>
      <w:r w:rsidRPr="00916DBA">
        <w:t>FFS: Down selection of REG to NR-CCE mapping</w:t>
      </w:r>
    </w:p>
    <w:p w14:paraId="6D7F8D27" w14:textId="76990A4B" w:rsidR="00916DBA" w:rsidRPr="00916DBA" w:rsidRDefault="00916DBA" w:rsidP="00916DBA">
      <w:pPr>
        <w:pStyle w:val="bullet"/>
        <w:numPr>
          <w:ilvl w:val="1"/>
          <w:numId w:val="31"/>
        </w:numPr>
      </w:pPr>
      <w:r w:rsidRPr="00916DBA">
        <w:t>E.g. </w:t>
      </w:r>
      <w:r w:rsidRPr="00916DBA">
        <w:rPr>
          <w:i/>
          <w:iCs/>
        </w:rPr>
        <w:t>K</w:t>
      </w:r>
      <w:r w:rsidRPr="00916DBA">
        <w:t> can be 1, 2, 4, or 8, etc</w:t>
      </w:r>
    </w:p>
    <w:p w14:paraId="65C100DE" w14:textId="77777777" w:rsidR="00916DBA" w:rsidRPr="00D74F6D" w:rsidRDefault="00916DBA" w:rsidP="00916DBA">
      <w:pPr>
        <w:pStyle w:val="ListParagraph"/>
        <w:ind w:leftChars="12" w:left="864" w:hanging="840"/>
        <w:rPr>
          <w:rFonts w:eastAsia="MS Mincho" w:cs="Arial"/>
          <w:szCs w:val="16"/>
          <w:lang w:eastAsia="ja-JP"/>
        </w:rPr>
      </w:pPr>
      <w:r w:rsidRPr="00D74F6D">
        <w:rPr>
          <w:rFonts w:eastAsia="MS Mincho" w:cs="Arial"/>
          <w:b/>
          <w:szCs w:val="16"/>
          <w:highlight w:val="green"/>
          <w:u w:val="single"/>
          <w:lang w:eastAsia="ja-JP"/>
        </w:rPr>
        <w:t>Agreements:</w:t>
      </w:r>
    </w:p>
    <w:p w14:paraId="07B43933" w14:textId="77777777" w:rsidR="00916DBA" w:rsidRDefault="00916DBA" w:rsidP="00916DBA">
      <w:pPr>
        <w:pStyle w:val="bullet"/>
      </w:pPr>
      <w:r w:rsidRPr="00D74F6D">
        <w:t xml:space="preserve">NR supports a ‘group common PDCCH’ carrying information of e.g. the slot structure. </w:t>
      </w:r>
    </w:p>
    <w:p w14:paraId="0E7C3662" w14:textId="77777777" w:rsidR="00916DBA" w:rsidRDefault="00916DBA" w:rsidP="00916DBA">
      <w:pPr>
        <w:pStyle w:val="bullet"/>
        <w:numPr>
          <w:ilvl w:val="1"/>
          <w:numId w:val="31"/>
        </w:numPr>
      </w:pPr>
      <w:r w:rsidRPr="00916DBA">
        <w:t>If the UE does not receive the ‘group common PDCCH’ the UE should be able to receive at least PDCCH in a slot, at least if the gNB did not transmit the ‘group common PDCCH’.</w:t>
      </w:r>
    </w:p>
    <w:p w14:paraId="3001FDC5" w14:textId="77777777" w:rsidR="00916DBA" w:rsidRDefault="00916DBA" w:rsidP="00916DBA">
      <w:pPr>
        <w:pStyle w:val="bullet"/>
        <w:numPr>
          <w:ilvl w:val="1"/>
          <w:numId w:val="31"/>
        </w:numPr>
      </w:pPr>
      <w:r w:rsidRPr="00916DBA">
        <w:t>The network will inform through RRC signalling the UE whether to decode the ‘group common PDCCH’ or not</w:t>
      </w:r>
    </w:p>
    <w:p w14:paraId="3CC49C00" w14:textId="77777777" w:rsidR="00916DBA" w:rsidRDefault="00916DBA" w:rsidP="00916DBA">
      <w:pPr>
        <w:pStyle w:val="bullet"/>
        <w:numPr>
          <w:ilvl w:val="1"/>
          <w:numId w:val="31"/>
        </w:numPr>
      </w:pPr>
      <w:r w:rsidRPr="00916DBA">
        <w:t>Common does not necessarily imply common per cell.</w:t>
      </w:r>
    </w:p>
    <w:p w14:paraId="09F0EA28" w14:textId="77777777" w:rsidR="00916DBA" w:rsidRDefault="00916DBA" w:rsidP="00916DBA">
      <w:pPr>
        <w:pStyle w:val="bullet"/>
        <w:numPr>
          <w:ilvl w:val="1"/>
          <w:numId w:val="31"/>
        </w:numPr>
      </w:pPr>
      <w:r w:rsidRPr="00916DBA">
        <w:t>Continue the discussion on the detailed content of the ‘group common PDCCH’ including usage for TDD and FDD</w:t>
      </w:r>
    </w:p>
    <w:p w14:paraId="6E575744" w14:textId="6A318CBC" w:rsidR="00916DBA" w:rsidRPr="00916DBA" w:rsidRDefault="00916DBA" w:rsidP="00916DBA">
      <w:pPr>
        <w:pStyle w:val="bullet"/>
        <w:numPr>
          <w:ilvl w:val="1"/>
          <w:numId w:val="31"/>
        </w:numPr>
      </w:pPr>
      <w:r w:rsidRPr="00916DBA">
        <w:t>The term ‘group common PDCCH’ refers to a channel (either a PDCCH or a separately designed channel) that carries information intended for the group of UEs.</w:t>
      </w:r>
    </w:p>
    <w:p w14:paraId="4D123F34" w14:textId="1BFA665E" w:rsidR="00916DBA" w:rsidRDefault="00916DBA" w:rsidP="005D47FA"/>
    <w:p w14:paraId="7035F811" w14:textId="7A0962C2" w:rsidR="00916DBA" w:rsidRPr="00916DBA" w:rsidRDefault="00916DBA" w:rsidP="005D47FA">
      <w:r>
        <w:t>In this paper, we further discuss the relationships between these concepts.</w:t>
      </w:r>
    </w:p>
    <w:p w14:paraId="488AD007" w14:textId="693E1B87" w:rsidR="00491EEE" w:rsidRDefault="00491EEE" w:rsidP="00F30894">
      <w:pPr>
        <w:pStyle w:val="Heading1"/>
        <w:jc w:val="both"/>
      </w:pPr>
      <w:r w:rsidRPr="00CC27F5">
        <w:lastRenderedPageBreak/>
        <w:t>2</w:t>
      </w:r>
      <w:r w:rsidRPr="00CC27F5">
        <w:tab/>
      </w:r>
      <w:r w:rsidR="004A7390">
        <w:t>Discussion</w:t>
      </w:r>
    </w:p>
    <w:p w14:paraId="0EB309A6" w14:textId="64AEA985" w:rsidR="00EB55CC" w:rsidRPr="00EB55CC" w:rsidRDefault="00EB55CC" w:rsidP="00EB55CC">
      <w:pPr>
        <w:pStyle w:val="Heading2"/>
      </w:pPr>
      <w:r>
        <w:t>2.1</w:t>
      </w:r>
      <w:r>
        <w:tab/>
        <w:t>Control resource set considerations</w:t>
      </w:r>
    </w:p>
    <w:p w14:paraId="12E5D30D" w14:textId="352FF0FC" w:rsidR="000E564D" w:rsidRDefault="00921851" w:rsidP="000E564D">
      <w:pPr>
        <w:rPr>
          <w:lang w:val="en-GB"/>
        </w:rPr>
      </w:pPr>
      <w:r w:rsidRPr="00921851">
        <w:rPr>
          <w:lang w:val="en-GB"/>
        </w:rPr>
        <w:t>A control resource set is defined as a set of REGs under a given numerology</w:t>
      </w:r>
      <w:r>
        <w:rPr>
          <w:lang w:val="en-GB"/>
        </w:rPr>
        <w:t>. At least one control resource set is indicated by the MIB, so that when UE acquires the NR channel, it knows where to monitor for the control channels. A UE can be redirected to other control resource sets. To distinguish these control resource sets, we will denote the control resource set indicated by the MIB as common control resource set, and the other control resource sets as UE specific control resource sets.</w:t>
      </w:r>
    </w:p>
    <w:p w14:paraId="33545E35" w14:textId="16E2B85A" w:rsidR="00921851" w:rsidRDefault="00101098" w:rsidP="000E564D">
      <w:pPr>
        <w:rPr>
          <w:lang w:val="en-GB"/>
        </w:rPr>
      </w:pPr>
      <w:r>
        <w:rPr>
          <w:lang w:val="en-GB"/>
        </w:rPr>
        <w:t>Within a control resource set, the control resource is defined in REG, CCE level, and search space can be further defined as a set of decoding candidates of different aggregation levels of CCEs. For common control resource set, we believe it should be possible to define both common search space and UE specific search space. For example, if the system bandwidth for a NR channel is not very wide, we may not want to define multiple control resource sets and can use one single control resource set, which will be the common control resource set. Then at least in this case, we will need to support both CSS and USS in the same common control resource set.</w:t>
      </w:r>
    </w:p>
    <w:p w14:paraId="54C67DEF" w14:textId="762AEBEC" w:rsidR="00101098" w:rsidRPr="00101098" w:rsidRDefault="00101098" w:rsidP="000E564D">
      <w:pPr>
        <w:rPr>
          <w:lang w:val="en-GB"/>
        </w:rPr>
      </w:pPr>
      <w:r>
        <w:rPr>
          <w:lang w:val="en-GB"/>
        </w:rPr>
        <w:t xml:space="preserve">On the other hand, when UE specific control resource set and multiple UEs are configured to monitor the same UE specific control resource set, it make sense to support a common search space in the resource set to allow sending broadcast grants to this set of UEs. </w:t>
      </w:r>
    </w:p>
    <w:p w14:paraId="4A1C5277" w14:textId="60D6977F" w:rsidR="00424EF7" w:rsidRPr="00424EF7" w:rsidRDefault="00424EF7" w:rsidP="000E564D">
      <w:pPr>
        <w:rPr>
          <w:lang w:val="en-GB"/>
        </w:rPr>
      </w:pPr>
      <w:r>
        <w:rPr>
          <w:lang w:val="en-GB"/>
        </w:rPr>
        <w:t>A UE can be configured to monitor one or more search spaces in one or more control resource sets. For USS, similar to LTE CA, it should be possible to configure the UE to monitor USS from multiple control resource set in one or more NR CC. However, for CSS, to save blind decoding complexity, there may not be need to monitor CSS from multiple control resource sets.</w:t>
      </w:r>
    </w:p>
    <w:p w14:paraId="15582871" w14:textId="77777777" w:rsidR="00424EF7" w:rsidRDefault="00424EF7" w:rsidP="00424EF7">
      <w:pPr>
        <w:rPr>
          <w:b/>
          <w:lang w:val="en-GB"/>
        </w:rPr>
      </w:pPr>
      <w:bookmarkStart w:id="2" w:name="p1"/>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Pr>
          <w:b/>
          <w:noProof/>
          <w:lang w:val="en-GB"/>
        </w:rPr>
        <w:t>1</w:t>
      </w:r>
      <w:r w:rsidRPr="00921851">
        <w:rPr>
          <w:b/>
          <w:lang w:val="en-GB"/>
        </w:rPr>
        <w:fldChar w:fldCharType="end"/>
      </w:r>
      <w:r w:rsidRPr="00921851">
        <w:rPr>
          <w:b/>
          <w:lang w:val="en-GB"/>
        </w:rPr>
        <w:t xml:space="preserve">. </w:t>
      </w:r>
      <w:r>
        <w:rPr>
          <w:b/>
          <w:lang w:val="en-GB"/>
        </w:rPr>
        <w:t>From gNB perspective, a common control resource set supports</w:t>
      </w:r>
      <w:r w:rsidRPr="00921851">
        <w:rPr>
          <w:b/>
          <w:lang w:val="en-GB"/>
        </w:rPr>
        <w:t xml:space="preserve"> common search spa</w:t>
      </w:r>
      <w:r>
        <w:rPr>
          <w:b/>
          <w:lang w:val="en-GB"/>
        </w:rPr>
        <w:t>ce and UE specific search space.</w:t>
      </w:r>
    </w:p>
    <w:p w14:paraId="4B4B0EC5" w14:textId="77777777" w:rsidR="00424EF7" w:rsidRDefault="00424EF7" w:rsidP="00424EF7">
      <w:pPr>
        <w:rPr>
          <w:b/>
          <w:lang w:val="en-GB"/>
        </w:rPr>
      </w:pPr>
      <w:bookmarkStart w:id="3" w:name="p2"/>
      <w:bookmarkEnd w:id="2"/>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Pr>
          <w:b/>
          <w:noProof/>
          <w:lang w:val="en-GB"/>
        </w:rPr>
        <w:t>2</w:t>
      </w:r>
      <w:r w:rsidRPr="00921851">
        <w:rPr>
          <w:b/>
          <w:lang w:val="en-GB"/>
        </w:rPr>
        <w:fldChar w:fldCharType="end"/>
      </w:r>
      <w:r w:rsidRPr="00921851">
        <w:rPr>
          <w:b/>
          <w:lang w:val="en-GB"/>
        </w:rPr>
        <w:t xml:space="preserve">. </w:t>
      </w:r>
      <w:r>
        <w:rPr>
          <w:b/>
          <w:lang w:val="en-GB"/>
        </w:rPr>
        <w:t xml:space="preserve">From gNB perspective, a </w:t>
      </w:r>
      <w:r w:rsidRPr="00921851">
        <w:rPr>
          <w:b/>
          <w:lang w:val="en-GB"/>
        </w:rPr>
        <w:t>UE specific control resource set can also support common search space and UE specific search space.</w:t>
      </w:r>
    </w:p>
    <w:p w14:paraId="6365458E" w14:textId="25965BD9" w:rsidR="006E4AC9" w:rsidRDefault="006E4AC9" w:rsidP="006E4AC9">
      <w:pPr>
        <w:rPr>
          <w:b/>
          <w:lang w:val="en-GB"/>
        </w:rPr>
      </w:pPr>
      <w:bookmarkStart w:id="4" w:name="p3"/>
      <w:bookmarkEnd w:id="3"/>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Pr>
          <w:b/>
          <w:noProof/>
          <w:lang w:val="en-GB"/>
        </w:rPr>
        <w:t>3</w:t>
      </w:r>
      <w:r w:rsidRPr="00921851">
        <w:rPr>
          <w:b/>
          <w:lang w:val="en-GB"/>
        </w:rPr>
        <w:fldChar w:fldCharType="end"/>
      </w:r>
      <w:r w:rsidRPr="00921851">
        <w:rPr>
          <w:b/>
          <w:lang w:val="en-GB"/>
        </w:rPr>
        <w:t xml:space="preserve">. </w:t>
      </w:r>
      <w:r>
        <w:rPr>
          <w:b/>
          <w:lang w:val="en-GB"/>
        </w:rPr>
        <w:t xml:space="preserve">UE </w:t>
      </w:r>
      <w:r w:rsidR="00424EF7">
        <w:rPr>
          <w:b/>
          <w:lang w:val="en-GB"/>
        </w:rPr>
        <w:t>can</w:t>
      </w:r>
      <w:r>
        <w:rPr>
          <w:b/>
          <w:lang w:val="en-GB"/>
        </w:rPr>
        <w:t xml:space="preserve"> be configur</w:t>
      </w:r>
      <w:r w:rsidR="00424EF7">
        <w:rPr>
          <w:b/>
          <w:lang w:val="en-GB"/>
        </w:rPr>
        <w:t>ed with one CSS and one or more USS in multiple control resource sets over one or more NR component carriers.</w:t>
      </w:r>
    </w:p>
    <w:bookmarkEnd w:id="4"/>
    <w:p w14:paraId="79306BA7" w14:textId="5BD87AB7" w:rsidR="00EB55CC" w:rsidRDefault="00EB55CC" w:rsidP="00EB55CC">
      <w:pPr>
        <w:pStyle w:val="Heading2"/>
      </w:pPr>
      <w:r>
        <w:t>2.2 Search space considerations</w:t>
      </w:r>
    </w:p>
    <w:p w14:paraId="5E8BE875" w14:textId="09F78EDD" w:rsidR="00AE1DAA" w:rsidRDefault="003D5D01" w:rsidP="000E564D">
      <w:pPr>
        <w:rPr>
          <w:lang w:val="en-GB"/>
        </w:rPr>
      </w:pPr>
      <w:r>
        <w:rPr>
          <w:lang w:val="en-GB"/>
        </w:rPr>
        <w:t>For each search space, the LTE mechanism of defining a profile of aggregation levels to monitor should still apply.</w:t>
      </w:r>
      <w:r w:rsidR="00EB55CC">
        <w:rPr>
          <w:lang w:val="en-GB"/>
        </w:rPr>
        <w:t xml:space="preserve"> Performance wise, we expect the NR PDCCH to at least have the same coverage as the LTE PDCCH. </w:t>
      </w:r>
      <w:r>
        <w:rPr>
          <w:lang w:val="en-GB"/>
        </w:rPr>
        <w:t xml:space="preserve">Before making the decision on the DCI content for DL and UL grant, </w:t>
      </w:r>
      <w:r w:rsidR="00EB55CC">
        <w:rPr>
          <w:lang w:val="en-GB"/>
        </w:rPr>
        <w:t>it is premature to decide the</w:t>
      </w:r>
      <w:r>
        <w:rPr>
          <w:lang w:val="en-GB"/>
        </w:rPr>
        <w:t xml:space="preserve"> number of REGs per CCE</w:t>
      </w:r>
      <w:r w:rsidR="00EB55CC">
        <w:rPr>
          <w:lang w:val="en-GB"/>
        </w:rPr>
        <w:t>. However, for the set of aggregation levels, it still make sense to use the LTE approach of keeping the set to be always power of 2, such as 1, 2, 4, and 8.</w:t>
      </w:r>
    </w:p>
    <w:p w14:paraId="0F543FCF" w14:textId="19DEDC94" w:rsidR="00AE1DAA" w:rsidRPr="00AE1DAA" w:rsidRDefault="00AE1DAA" w:rsidP="000E564D">
      <w:pPr>
        <w:rPr>
          <w:lang w:val="en-GB"/>
        </w:rPr>
      </w:pPr>
      <w:bookmarkStart w:id="5"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6E4AC9">
        <w:rPr>
          <w:b/>
          <w:noProof/>
          <w:lang w:val="en-GB"/>
        </w:rPr>
        <w:t>4</w:t>
      </w:r>
      <w:r w:rsidRPr="00921851">
        <w:rPr>
          <w:b/>
          <w:lang w:val="en-GB"/>
        </w:rPr>
        <w:fldChar w:fldCharType="end"/>
      </w:r>
      <w:r w:rsidRPr="00921851">
        <w:rPr>
          <w:b/>
          <w:lang w:val="en-GB"/>
        </w:rPr>
        <w:t>.</w:t>
      </w:r>
      <w:r>
        <w:rPr>
          <w:b/>
          <w:lang w:val="en-GB"/>
        </w:rPr>
        <w:t xml:space="preserve"> </w:t>
      </w:r>
      <w:r w:rsidR="006E4AC9">
        <w:rPr>
          <w:b/>
          <w:lang w:val="en-GB"/>
        </w:rPr>
        <w:t xml:space="preserve">NR PDCCH at least has same coverage as LTE. The AL length is always in the form of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N</m:t>
            </m:r>
          </m:sup>
        </m:sSup>
      </m:oMath>
      <w:r w:rsidR="006E4AC9">
        <w:rPr>
          <w:b/>
          <w:lang w:val="en-GB"/>
        </w:rPr>
        <w:t xml:space="preserve">. </w:t>
      </w:r>
    </w:p>
    <w:bookmarkEnd w:id="5"/>
    <w:p w14:paraId="4740C6DB" w14:textId="61424B40" w:rsidR="00921851" w:rsidRDefault="003F66B8" w:rsidP="000E564D">
      <w:pPr>
        <w:rPr>
          <w:lang w:val="en-GB"/>
        </w:rPr>
      </w:pPr>
      <w:r>
        <w:rPr>
          <w:lang w:val="en-GB"/>
        </w:rPr>
        <w:t xml:space="preserve">It is too early to decide on the number of decoding candidates for each aggregation. However, we can discuss some design principles for search space design. In NR-PDCCH discussion so far, front loaded DMRS, dynamic number of actual control OFDM symbols, </w:t>
      </w:r>
      <w:r w:rsidR="00134BBA">
        <w:rPr>
          <w:lang w:val="en-GB"/>
        </w:rPr>
        <w:t xml:space="preserve">and </w:t>
      </w:r>
      <w:r>
        <w:rPr>
          <w:lang w:val="en-GB"/>
        </w:rPr>
        <w:t xml:space="preserve">reuse the channel estimate and LLR computation for multiple blind decoding are popular ideas. </w:t>
      </w:r>
      <w:r w:rsidR="00134BBA">
        <w:rPr>
          <w:lang w:val="en-GB"/>
        </w:rPr>
        <w:t>The search space design needs to reflect these concepts.</w:t>
      </w:r>
    </w:p>
    <w:p w14:paraId="474DD0FB" w14:textId="061C674E" w:rsidR="00134BBA" w:rsidRDefault="00134BBA" w:rsidP="000E564D">
      <w:pPr>
        <w:rPr>
          <w:lang w:val="en-GB"/>
        </w:rPr>
      </w:pPr>
      <w:r>
        <w:rPr>
          <w:lang w:val="en-GB"/>
        </w:rPr>
        <w:t>One principle that can take advantage of these concepts is, decoding candidates are placed frequency first in each control OFDM symbol</w:t>
      </w:r>
      <w:r w:rsidR="00D75D99">
        <w:rPr>
          <w:lang w:val="en-GB"/>
        </w:rPr>
        <w:t xml:space="preserve">, and across different control OFDM symbols, the decoding candidates of the same aggregation level align in frequency domain. The design is demonstrated in </w:t>
      </w:r>
      <w:r w:rsidR="00D75D99">
        <w:rPr>
          <w:lang w:val="en-GB"/>
        </w:rPr>
        <w:fldChar w:fldCharType="begin"/>
      </w:r>
      <w:r w:rsidR="00D75D99">
        <w:rPr>
          <w:lang w:val="en-GB"/>
        </w:rPr>
        <w:instrText xml:space="preserve"> REF _Ref473918105 \h </w:instrText>
      </w:r>
      <w:r w:rsidR="00D75D99">
        <w:rPr>
          <w:lang w:val="en-GB"/>
        </w:rPr>
      </w:r>
      <w:r w:rsidR="00D75D99">
        <w:rPr>
          <w:lang w:val="en-GB"/>
        </w:rPr>
        <w:fldChar w:fldCharType="separate"/>
      </w:r>
      <w:r w:rsidR="00D75D99">
        <w:t xml:space="preserve">Figure </w:t>
      </w:r>
      <w:r w:rsidR="00D75D99">
        <w:rPr>
          <w:noProof/>
        </w:rPr>
        <w:t>1</w:t>
      </w:r>
      <w:r w:rsidR="00D75D99">
        <w:rPr>
          <w:lang w:val="en-GB"/>
        </w:rPr>
        <w:fldChar w:fldCharType="end"/>
      </w:r>
      <w:r w:rsidR="00D75D99">
        <w:rPr>
          <w:lang w:val="en-GB"/>
        </w:rPr>
        <w:t>.</w:t>
      </w:r>
      <w:r w:rsidR="0034617A">
        <w:rPr>
          <w:lang w:val="en-GB"/>
        </w:rPr>
        <w:t xml:space="preserve"> In this example,</w:t>
      </w:r>
      <w:r w:rsidR="00B725A3">
        <w:rPr>
          <w:lang w:val="en-GB"/>
        </w:rPr>
        <w:t xml:space="preserve"> two control OFDM symbols are assumed in the control resource set, and two decoding candidates with AL1, AL2, and AL4 are shown in each OFDM symbol. The two AL4 decoding candidates can further form an AL8 decoding candidate (not shown). Across two control OFDM symbols, </w:t>
      </w:r>
      <w:r w:rsidR="00EF4398">
        <w:rPr>
          <w:lang w:val="en-GB"/>
        </w:rPr>
        <w:t>the decoding candidates for the same aggregation level align in frequency domain, so DMRS can be shared. In this example, if one control OFDM symbol is used, totally 7 blind decodings will be run. If two control OFDM symbols are used, totally 14 blind decodings will be run.</w:t>
      </w:r>
    </w:p>
    <w:p w14:paraId="01D249FC" w14:textId="116038D2" w:rsidR="00EB55CC" w:rsidRDefault="003F66B8" w:rsidP="003F66B8">
      <w:pPr>
        <w:keepNext/>
        <w:jc w:val="center"/>
      </w:pPr>
      <w:r w:rsidRPr="00EB55CC">
        <w:object w:dxaOrig="9462" w:dyaOrig="3166" w14:anchorId="7EFC4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2.7pt;height:131.2pt" o:ole="">
            <v:imagedata r:id="rId13" o:title=""/>
          </v:shape>
          <o:OLEObject Type="Embed" ProgID="Visio.Drawing.11" ShapeID="_x0000_i1033" DrawAspect="Content" ObjectID="_1547664296" r:id="rId14"/>
        </w:object>
      </w:r>
    </w:p>
    <w:p w14:paraId="34DEC09E" w14:textId="42492E5D" w:rsidR="00EB55CC" w:rsidRDefault="00EB55CC" w:rsidP="003F66B8">
      <w:pPr>
        <w:pStyle w:val="Caption"/>
      </w:pPr>
      <w:bookmarkStart w:id="6" w:name="_Ref473918105"/>
      <w:r>
        <w:t xml:space="preserve">Figure </w:t>
      </w:r>
      <w:r>
        <w:fldChar w:fldCharType="begin"/>
      </w:r>
      <w:r>
        <w:instrText xml:space="preserve"> SEQ Figure \* ARABIC </w:instrText>
      </w:r>
      <w:r>
        <w:fldChar w:fldCharType="separate"/>
      </w:r>
      <w:r w:rsidR="0034617A">
        <w:rPr>
          <w:noProof/>
        </w:rPr>
        <w:t>1</w:t>
      </w:r>
      <w:r>
        <w:fldChar w:fldCharType="end"/>
      </w:r>
      <w:bookmarkEnd w:id="6"/>
      <w:r>
        <w:t>. Aligned search space across OFDM symbols</w:t>
      </w:r>
    </w:p>
    <w:p w14:paraId="191EC5E9" w14:textId="2C22541C" w:rsidR="00D75D99" w:rsidRDefault="00EF4398" w:rsidP="00D75D99">
      <w:r>
        <w:t>The benefits of such design principle are as follows.</w:t>
      </w:r>
    </w:p>
    <w:p w14:paraId="48B4F21B" w14:textId="77777777" w:rsidR="005F3154" w:rsidRDefault="005F3154" w:rsidP="00A076B0">
      <w:pPr>
        <w:pStyle w:val="bullet"/>
      </w:pPr>
      <w:r>
        <w:t>A set of decoding candidates are completely located in the first control OFDM symbol so the blind decoding can be dispatched early, right after the first control OFDM is received, before the CFI is detected</w:t>
      </w:r>
    </w:p>
    <w:p w14:paraId="73BAA676" w14:textId="61452D78" w:rsidR="00AF2AFC" w:rsidRDefault="005F3154" w:rsidP="00A076B0">
      <w:pPr>
        <w:pStyle w:val="bullet"/>
      </w:pPr>
      <w:r>
        <w:t xml:space="preserve">The remaining control OFDM symbol(s) contain additional decoding </w:t>
      </w:r>
      <w:r w:rsidR="00AF2AFC">
        <w:t>candidate and can be dispatched when CFI is received, indicating the later control OFDM symbols are actually used. This allows blind decoding saving.</w:t>
      </w:r>
    </w:p>
    <w:p w14:paraId="718B48FF" w14:textId="4E7B4FF7" w:rsidR="005F3154" w:rsidRDefault="005F3154" w:rsidP="00A076B0">
      <w:pPr>
        <w:pStyle w:val="bullet"/>
      </w:pPr>
      <w:r>
        <w:t>The decoding candidates of the same aggregation level are aligned, so front loaded DMRS can be reused.</w:t>
      </w:r>
    </w:p>
    <w:p w14:paraId="5252FDAE" w14:textId="77777777" w:rsidR="00AF2AFC" w:rsidRDefault="00AF2AFC" w:rsidP="00A076B0"/>
    <w:p w14:paraId="10FE0997" w14:textId="40FA0307" w:rsidR="00A076B0" w:rsidRDefault="00AF2AFC" w:rsidP="00A076B0">
      <w:bookmarkStart w:id="7" w:name="_GoBack"/>
      <w:bookmarkEnd w:id="7"/>
      <w:r>
        <w:t>I</w:t>
      </w:r>
      <w:r w:rsidR="00A076B0">
        <w:t xml:space="preserve">n some scenarios, it is possible that the control resource set is relatively narrow band and there are not enough CCEs in each OFDM symbol to carry the largest aggregation level candidate. In this case, it may be necessary to form large aggregation level decoding candidate using CCEs across OFDM symbols. When we do this, we need to consider front loaded DMRS reuse and blocking avoidance. One way to achieve these design goals is to form the large aggregation level decoding candidate across OFDM symbols by concatenating smaller aggregation level decoding candidates aligned in frequency. This idea is demonstrated in </w:t>
      </w:r>
      <w:r w:rsidR="00A076B0">
        <w:fldChar w:fldCharType="begin"/>
      </w:r>
      <w:r w:rsidR="00A076B0">
        <w:instrText xml:space="preserve"> REF _Ref473921439 \h </w:instrText>
      </w:r>
      <w:r w:rsidR="00A076B0">
        <w:fldChar w:fldCharType="separate"/>
      </w:r>
      <w:r w:rsidR="00A076B0">
        <w:t xml:space="preserve">Figure </w:t>
      </w:r>
      <w:r w:rsidR="00A076B0">
        <w:rPr>
          <w:noProof/>
        </w:rPr>
        <w:t>2</w:t>
      </w:r>
      <w:r w:rsidR="00A076B0">
        <w:fldChar w:fldCharType="end"/>
      </w:r>
      <w:r w:rsidR="00A076B0">
        <w:t xml:space="preserve">. In this example, the control resource set is only wide enough to hold an AL4 decoding candidate. Then to generate a decoding candidate for aggregation level 8, we will concatenate the two aligned AL4 decoding candidates. </w:t>
      </w:r>
    </w:p>
    <w:p w14:paraId="24088D5D" w14:textId="6FB1BF1F" w:rsidR="0034617A" w:rsidRDefault="0034617A" w:rsidP="00A076B0">
      <w:pPr>
        <w:jc w:val="center"/>
      </w:pPr>
      <w:r w:rsidRPr="00D75D99">
        <w:object w:dxaOrig="9795" w:dyaOrig="2987" w14:anchorId="3BC335C1">
          <v:shape id="_x0000_i1041" type="#_x0000_t75" style="width:405.5pt;height:123.7pt" o:ole="">
            <v:imagedata r:id="rId15" o:title=""/>
          </v:shape>
          <o:OLEObject Type="Embed" ProgID="Visio.Drawing.11" ShapeID="_x0000_i1041" DrawAspect="Content" ObjectID="_1547664297" r:id="rId16"/>
        </w:object>
      </w:r>
    </w:p>
    <w:p w14:paraId="7F7BF06E" w14:textId="5F2E7B54" w:rsidR="00D75D99" w:rsidRDefault="0034617A" w:rsidP="0034617A">
      <w:pPr>
        <w:pStyle w:val="Caption"/>
      </w:pPr>
      <w:bookmarkStart w:id="8" w:name="_Ref473921439"/>
      <w:r>
        <w:t xml:space="preserve">Figure </w:t>
      </w:r>
      <w:r>
        <w:fldChar w:fldCharType="begin"/>
      </w:r>
      <w:r>
        <w:instrText xml:space="preserve"> SEQ Figure \* ARABIC </w:instrText>
      </w:r>
      <w:r>
        <w:fldChar w:fldCharType="separate"/>
      </w:r>
      <w:r>
        <w:rPr>
          <w:noProof/>
        </w:rPr>
        <w:t>2</w:t>
      </w:r>
      <w:r>
        <w:fldChar w:fldCharType="end"/>
      </w:r>
      <w:bookmarkEnd w:id="8"/>
      <w:r>
        <w:t>. Large AL handling when control resource set is small</w:t>
      </w:r>
    </w:p>
    <w:p w14:paraId="0583DF1A" w14:textId="77777777" w:rsidR="00EF4398" w:rsidRDefault="00EF4398" w:rsidP="00EF4398">
      <w:pPr>
        <w:rPr>
          <w:b/>
        </w:rPr>
      </w:pPr>
      <w:bookmarkStart w:id="9" w:name="p5"/>
      <w:r w:rsidRPr="00EF4398">
        <w:rPr>
          <w:b/>
        </w:rPr>
        <w:t xml:space="preserve">Proposal </w:t>
      </w:r>
      <w:r w:rsidRPr="00EF4398">
        <w:rPr>
          <w:b/>
        </w:rPr>
        <w:fldChar w:fldCharType="begin"/>
      </w:r>
      <w:r w:rsidRPr="00EF4398">
        <w:rPr>
          <w:b/>
        </w:rPr>
        <w:instrText xml:space="preserve"> seq prop </w:instrText>
      </w:r>
      <w:r w:rsidRPr="00EF4398">
        <w:rPr>
          <w:b/>
        </w:rPr>
        <w:fldChar w:fldCharType="separate"/>
      </w:r>
      <w:r w:rsidRPr="00EF4398">
        <w:rPr>
          <w:b/>
          <w:noProof/>
        </w:rPr>
        <w:t>5</w:t>
      </w:r>
      <w:r w:rsidRPr="00EF4398">
        <w:rPr>
          <w:b/>
        </w:rPr>
        <w:fldChar w:fldCharType="end"/>
      </w:r>
      <w:r w:rsidRPr="00EF4398">
        <w:rPr>
          <w:b/>
        </w:rPr>
        <w:t xml:space="preserve">. Adopt the </w:t>
      </w:r>
      <w:r>
        <w:rPr>
          <w:b/>
        </w:rPr>
        <w:t xml:space="preserve">following </w:t>
      </w:r>
      <w:r w:rsidRPr="00EF4398">
        <w:rPr>
          <w:b/>
        </w:rPr>
        <w:t>search space design principle</w:t>
      </w:r>
      <w:r>
        <w:rPr>
          <w:b/>
        </w:rPr>
        <w:t>s</w:t>
      </w:r>
    </w:p>
    <w:p w14:paraId="51E18357" w14:textId="77777777" w:rsidR="00EF4398" w:rsidRPr="00EF4398" w:rsidRDefault="00EF4398" w:rsidP="00EF4398">
      <w:pPr>
        <w:pStyle w:val="ListParagraph"/>
        <w:numPr>
          <w:ilvl w:val="0"/>
          <w:numId w:val="34"/>
        </w:numPr>
        <w:rPr>
          <w:b/>
          <w:sz w:val="20"/>
        </w:rPr>
      </w:pPr>
      <w:r w:rsidRPr="00EF4398">
        <w:rPr>
          <w:b/>
          <w:sz w:val="20"/>
          <w:lang w:val="en-GB"/>
        </w:rPr>
        <w:t>D</w:t>
      </w:r>
      <w:r w:rsidRPr="00EF4398">
        <w:rPr>
          <w:b/>
          <w:sz w:val="20"/>
          <w:lang w:val="en-GB"/>
        </w:rPr>
        <w:t>ecoding candidates are placed frequency first in each control OFDM symbol</w:t>
      </w:r>
    </w:p>
    <w:p w14:paraId="6AE50153" w14:textId="0AE57F25" w:rsidR="00D75D99" w:rsidRPr="00EF4398" w:rsidRDefault="00EF4398" w:rsidP="00EF4398">
      <w:pPr>
        <w:pStyle w:val="ListParagraph"/>
        <w:numPr>
          <w:ilvl w:val="0"/>
          <w:numId w:val="34"/>
        </w:numPr>
        <w:rPr>
          <w:b/>
          <w:sz w:val="20"/>
        </w:rPr>
      </w:pPr>
      <w:r>
        <w:rPr>
          <w:b/>
          <w:sz w:val="20"/>
        </w:rPr>
        <w:t>A</w:t>
      </w:r>
      <w:r w:rsidRPr="00EF4398">
        <w:rPr>
          <w:b/>
          <w:sz w:val="20"/>
          <w:lang w:val="en-GB"/>
        </w:rPr>
        <w:t xml:space="preserve">cross different control OFDM symbols, the decoding candidates of the same aggregation </w:t>
      </w:r>
      <w:r>
        <w:rPr>
          <w:b/>
          <w:sz w:val="20"/>
          <w:lang w:val="en-GB"/>
        </w:rPr>
        <w:t>level align in frequency domain</w:t>
      </w:r>
    </w:p>
    <w:p w14:paraId="214B6F2F" w14:textId="0956607C" w:rsidR="00EF4398" w:rsidRDefault="00EF4398" w:rsidP="00EF4398">
      <w:pPr>
        <w:pStyle w:val="ListParagraph"/>
        <w:numPr>
          <w:ilvl w:val="0"/>
          <w:numId w:val="34"/>
        </w:numPr>
        <w:rPr>
          <w:b/>
          <w:sz w:val="20"/>
        </w:rPr>
      </w:pPr>
      <w:r>
        <w:rPr>
          <w:b/>
          <w:sz w:val="20"/>
        </w:rPr>
        <w:t>Only support</w:t>
      </w:r>
      <w:r w:rsidR="008E40BD">
        <w:rPr>
          <w:b/>
          <w:sz w:val="20"/>
        </w:rPr>
        <w:t>s</w:t>
      </w:r>
      <w:r>
        <w:rPr>
          <w:b/>
          <w:sz w:val="20"/>
        </w:rPr>
        <w:t xml:space="preserve"> decoding candidate acro</w:t>
      </w:r>
      <w:r w:rsidR="008E40BD">
        <w:rPr>
          <w:b/>
          <w:sz w:val="20"/>
        </w:rPr>
        <w:t xml:space="preserve">ss OFDM symbols when the control resource set does not have enough CCEs in </w:t>
      </w:r>
      <w:r w:rsidR="00030EDE">
        <w:rPr>
          <w:b/>
          <w:sz w:val="20"/>
        </w:rPr>
        <w:t>one OFDM symbol</w:t>
      </w:r>
    </w:p>
    <w:p w14:paraId="51C01ACF" w14:textId="0519862E" w:rsidR="00030EDE" w:rsidRPr="00EF4398" w:rsidRDefault="00030EDE" w:rsidP="00EF4398">
      <w:pPr>
        <w:pStyle w:val="ListParagraph"/>
        <w:numPr>
          <w:ilvl w:val="0"/>
          <w:numId w:val="34"/>
        </w:numPr>
        <w:rPr>
          <w:b/>
          <w:sz w:val="20"/>
        </w:rPr>
      </w:pPr>
      <w:r>
        <w:rPr>
          <w:b/>
          <w:sz w:val="20"/>
        </w:rPr>
        <w:t xml:space="preserve">The decoding candidate cross OFDM symbols </w:t>
      </w:r>
      <w:r w:rsidR="00A076B0">
        <w:rPr>
          <w:b/>
          <w:sz w:val="20"/>
        </w:rPr>
        <w:t>can</w:t>
      </w:r>
      <w:r>
        <w:rPr>
          <w:b/>
          <w:sz w:val="20"/>
        </w:rPr>
        <w:t xml:space="preserve"> be formed by concatenating two </w:t>
      </w:r>
      <w:r w:rsidR="00A076B0">
        <w:rPr>
          <w:b/>
          <w:sz w:val="20"/>
        </w:rPr>
        <w:t>lower aggregation level decoding candidates aligned in frequency</w:t>
      </w:r>
    </w:p>
    <w:bookmarkEnd w:id="9"/>
    <w:p w14:paraId="41C4C1DB" w14:textId="77777777" w:rsidR="00EF4398" w:rsidRPr="00D75D99" w:rsidRDefault="00EF4398" w:rsidP="00D75D99"/>
    <w:p w14:paraId="2F77E7C7" w14:textId="4CAB8903" w:rsidR="00491EEE" w:rsidRDefault="004A7390" w:rsidP="00843B71">
      <w:pPr>
        <w:pStyle w:val="Heading1"/>
        <w:jc w:val="both"/>
      </w:pPr>
      <w:r>
        <w:t>3</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075EB2DD" w14:textId="5700856D" w:rsidR="005F3154" w:rsidRDefault="005F3154" w:rsidP="00424EF7">
      <w:pPr>
        <w:rPr>
          <w:b/>
          <w:lang w:val="en-GB"/>
        </w:rPr>
      </w:pPr>
      <w:r>
        <w:rPr>
          <w:lang w:val="en-GB"/>
        </w:rPr>
        <w:lastRenderedPageBreak/>
        <w:fldChar w:fldCharType="begin"/>
      </w:r>
      <w:r>
        <w:rPr>
          <w:lang w:val="en-GB"/>
        </w:rPr>
        <w:instrText xml:space="preserve"> REF p1 \h </w:instrText>
      </w:r>
      <w:r>
        <w:rPr>
          <w:lang w:val="en-GB"/>
        </w:rPr>
      </w:r>
      <w:r>
        <w:rPr>
          <w:lang w:val="en-GB"/>
        </w:rPr>
        <w:fldChar w:fldCharType="separate"/>
      </w:r>
      <w:r w:rsidRPr="00921851">
        <w:rPr>
          <w:b/>
          <w:lang w:val="en-GB"/>
        </w:rPr>
        <w:t xml:space="preserve">Proposal </w:t>
      </w:r>
      <w:r>
        <w:rPr>
          <w:b/>
          <w:noProof/>
          <w:lang w:val="en-GB"/>
        </w:rPr>
        <w:t>1</w:t>
      </w:r>
      <w:r w:rsidRPr="00921851">
        <w:rPr>
          <w:b/>
          <w:lang w:val="en-GB"/>
        </w:rPr>
        <w:t xml:space="preserve">. </w:t>
      </w:r>
      <w:r>
        <w:rPr>
          <w:b/>
          <w:lang w:val="en-GB"/>
        </w:rPr>
        <w:t>From gNB perspective, a common control resource set supports</w:t>
      </w:r>
      <w:r w:rsidRPr="00921851">
        <w:rPr>
          <w:b/>
          <w:lang w:val="en-GB"/>
        </w:rPr>
        <w:t xml:space="preserve"> common search spa</w:t>
      </w:r>
      <w:r>
        <w:rPr>
          <w:b/>
          <w:lang w:val="en-GB"/>
        </w:rPr>
        <w:t>ce and UE specific search space.</w:t>
      </w:r>
    </w:p>
    <w:p w14:paraId="367E2CB1" w14:textId="21854464" w:rsidR="005F3154" w:rsidRDefault="005F3154" w:rsidP="00424EF7">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921851">
        <w:rPr>
          <w:b/>
          <w:lang w:val="en-GB"/>
        </w:rPr>
        <w:t xml:space="preserve">Proposal </w:t>
      </w:r>
      <w:r>
        <w:rPr>
          <w:b/>
          <w:noProof/>
          <w:lang w:val="en-GB"/>
        </w:rPr>
        <w:t>2</w:t>
      </w:r>
      <w:r w:rsidRPr="00921851">
        <w:rPr>
          <w:b/>
          <w:lang w:val="en-GB"/>
        </w:rPr>
        <w:t xml:space="preserve">. </w:t>
      </w:r>
      <w:r>
        <w:rPr>
          <w:b/>
          <w:lang w:val="en-GB"/>
        </w:rPr>
        <w:t xml:space="preserve">From gNB perspective, a </w:t>
      </w:r>
      <w:r w:rsidRPr="00921851">
        <w:rPr>
          <w:b/>
          <w:lang w:val="en-GB"/>
        </w:rPr>
        <w:t>UE specific control resource set can also support common search space and UE specific search space.</w:t>
      </w:r>
    </w:p>
    <w:p w14:paraId="60D3B133" w14:textId="3441D5C8" w:rsidR="005F3154" w:rsidRDefault="005F3154" w:rsidP="006E4AC9">
      <w:pPr>
        <w:rPr>
          <w:b/>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Pr="00921851">
        <w:rPr>
          <w:b/>
          <w:lang w:val="en-GB"/>
        </w:rPr>
        <w:t xml:space="preserve">Proposal </w:t>
      </w:r>
      <w:r>
        <w:rPr>
          <w:b/>
          <w:noProof/>
          <w:lang w:val="en-GB"/>
        </w:rPr>
        <w:t>3</w:t>
      </w:r>
      <w:r w:rsidRPr="00921851">
        <w:rPr>
          <w:b/>
          <w:lang w:val="en-GB"/>
        </w:rPr>
        <w:t xml:space="preserve">. </w:t>
      </w:r>
      <w:r>
        <w:rPr>
          <w:b/>
          <w:lang w:val="en-GB"/>
        </w:rPr>
        <w:t>UE can be configured with one CSS and one or more USS in multiple control resource sets over one or more NR component carriers.</w:t>
      </w:r>
    </w:p>
    <w:p w14:paraId="01A33346" w14:textId="6CF2C4B7" w:rsidR="005F3154" w:rsidRPr="00AE1DAA" w:rsidRDefault="005F3154" w:rsidP="000E564D">
      <w:pPr>
        <w:rPr>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Pr="00921851">
        <w:rPr>
          <w:b/>
          <w:lang w:val="en-GB"/>
        </w:rPr>
        <w:t xml:space="preserve">Proposal </w:t>
      </w:r>
      <w:r>
        <w:rPr>
          <w:b/>
          <w:noProof/>
          <w:lang w:val="en-GB"/>
        </w:rPr>
        <w:t>4</w:t>
      </w:r>
      <w:r w:rsidRPr="00921851">
        <w:rPr>
          <w:b/>
          <w:lang w:val="en-GB"/>
        </w:rPr>
        <w:t>.</w:t>
      </w:r>
      <w:r>
        <w:rPr>
          <w:b/>
          <w:lang w:val="en-GB"/>
        </w:rPr>
        <w:t xml:space="preserve"> NR PDCCH at least has same coverage as LTE. The AL length is always in the form of </w:t>
      </w:r>
      <m:oMath>
        <m:sSup>
          <m:sSupPr>
            <m:ctrlPr>
              <w:rPr>
                <w:rFonts w:ascii="Cambria Math" w:hAnsi="Cambria Math"/>
                <w:b/>
                <w:i/>
                <w:lang w:val="en-GB"/>
              </w:rPr>
            </m:ctrlPr>
          </m:sSupPr>
          <m:e>
            <m:r>
              <m:rPr>
                <m:sty m:val="bi"/>
              </m:rPr>
              <w:rPr>
                <w:rFonts w:ascii="Cambria Math" w:hAnsi="Cambria Math"/>
                <w:lang w:val="en-GB"/>
              </w:rPr>
              <m:t>2</m:t>
            </m:r>
          </m:e>
          <m:sup>
            <m:r>
              <m:rPr>
                <m:sty m:val="bi"/>
              </m:rPr>
              <w:rPr>
                <w:rFonts w:ascii="Cambria Math" w:hAnsi="Cambria Math"/>
                <w:lang w:val="en-GB"/>
              </w:rPr>
              <m:t>N</m:t>
            </m:r>
          </m:sup>
        </m:sSup>
      </m:oMath>
      <w:r>
        <w:rPr>
          <w:b/>
          <w:lang w:val="en-GB"/>
        </w:rPr>
        <w:t xml:space="preserve">. </w:t>
      </w:r>
    </w:p>
    <w:p w14:paraId="54466A9A" w14:textId="504C559D" w:rsidR="005F3154" w:rsidRDefault="005F3154" w:rsidP="00EF4398">
      <w:pPr>
        <w:rPr>
          <w:b/>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Pr="00EF4398">
        <w:rPr>
          <w:b/>
        </w:rPr>
        <w:t xml:space="preserve">Proposal </w:t>
      </w:r>
      <w:r w:rsidRPr="00EF4398">
        <w:rPr>
          <w:b/>
          <w:noProof/>
        </w:rPr>
        <w:t>5</w:t>
      </w:r>
      <w:r w:rsidRPr="00EF4398">
        <w:rPr>
          <w:b/>
        </w:rPr>
        <w:t xml:space="preserve">. Adopt the </w:t>
      </w:r>
      <w:r>
        <w:rPr>
          <w:b/>
        </w:rPr>
        <w:t xml:space="preserve">following </w:t>
      </w:r>
      <w:r w:rsidRPr="00EF4398">
        <w:rPr>
          <w:b/>
        </w:rPr>
        <w:t>search space design principle</w:t>
      </w:r>
      <w:r>
        <w:rPr>
          <w:b/>
        </w:rPr>
        <w:t>s</w:t>
      </w:r>
    </w:p>
    <w:p w14:paraId="2C7487EA" w14:textId="77777777" w:rsidR="005F3154" w:rsidRPr="00EF4398" w:rsidRDefault="005F3154" w:rsidP="00EF4398">
      <w:pPr>
        <w:pStyle w:val="ListParagraph"/>
        <w:numPr>
          <w:ilvl w:val="0"/>
          <w:numId w:val="34"/>
        </w:numPr>
        <w:rPr>
          <w:b/>
          <w:sz w:val="20"/>
        </w:rPr>
      </w:pPr>
      <w:r w:rsidRPr="00EF4398">
        <w:rPr>
          <w:b/>
          <w:sz w:val="20"/>
          <w:lang w:val="en-GB"/>
        </w:rPr>
        <w:t>D</w:t>
      </w:r>
      <w:r w:rsidRPr="00EF4398">
        <w:rPr>
          <w:b/>
          <w:sz w:val="20"/>
          <w:lang w:val="en-GB"/>
        </w:rPr>
        <w:t>ecoding candidates are placed frequency first in each control OFDM symbol</w:t>
      </w:r>
    </w:p>
    <w:p w14:paraId="0D8EDA0D" w14:textId="77777777" w:rsidR="005F3154" w:rsidRPr="00EF4398" w:rsidRDefault="005F3154" w:rsidP="00EF4398">
      <w:pPr>
        <w:pStyle w:val="ListParagraph"/>
        <w:numPr>
          <w:ilvl w:val="0"/>
          <w:numId w:val="34"/>
        </w:numPr>
        <w:rPr>
          <w:b/>
          <w:sz w:val="20"/>
        </w:rPr>
      </w:pPr>
      <w:r>
        <w:rPr>
          <w:b/>
          <w:sz w:val="20"/>
        </w:rPr>
        <w:t>A</w:t>
      </w:r>
      <w:r w:rsidRPr="00EF4398">
        <w:rPr>
          <w:b/>
          <w:sz w:val="20"/>
          <w:lang w:val="en-GB"/>
        </w:rPr>
        <w:t xml:space="preserve">cross different control OFDM symbols, the decoding candidates of the same aggregation </w:t>
      </w:r>
      <w:r>
        <w:rPr>
          <w:b/>
          <w:sz w:val="20"/>
          <w:lang w:val="en-GB"/>
        </w:rPr>
        <w:t>level align in frequency domain</w:t>
      </w:r>
    </w:p>
    <w:p w14:paraId="3C4FE77C" w14:textId="77777777" w:rsidR="005F3154" w:rsidRDefault="005F3154" w:rsidP="00EF4398">
      <w:pPr>
        <w:pStyle w:val="ListParagraph"/>
        <w:numPr>
          <w:ilvl w:val="0"/>
          <w:numId w:val="34"/>
        </w:numPr>
        <w:rPr>
          <w:b/>
          <w:sz w:val="20"/>
        </w:rPr>
      </w:pPr>
      <w:r>
        <w:rPr>
          <w:b/>
          <w:sz w:val="20"/>
        </w:rPr>
        <w:t>Only supports decoding candidate across OFDM symbols when the control resource set does not have enough CCEs in one OFDM symbol</w:t>
      </w:r>
    </w:p>
    <w:p w14:paraId="607053D1" w14:textId="77777777" w:rsidR="005F3154" w:rsidRPr="00EF4398" w:rsidRDefault="005F3154" w:rsidP="00EF4398">
      <w:pPr>
        <w:pStyle w:val="ListParagraph"/>
        <w:numPr>
          <w:ilvl w:val="0"/>
          <w:numId w:val="34"/>
        </w:numPr>
        <w:rPr>
          <w:b/>
          <w:sz w:val="20"/>
        </w:rPr>
      </w:pPr>
      <w:r>
        <w:rPr>
          <w:b/>
          <w:sz w:val="20"/>
        </w:rPr>
        <w:t>The decoding candidate cross OFDM symbols can be formed by concatenating two lower aggregation level decoding candidates aligned in frequency</w:t>
      </w:r>
    </w:p>
    <w:p w14:paraId="23202170" w14:textId="297239D0" w:rsidR="005F3154" w:rsidRPr="005F3154" w:rsidRDefault="005F3154" w:rsidP="005F3154">
      <w:pPr>
        <w:rPr>
          <w:lang w:val="en-GB"/>
        </w:rPr>
      </w:pPr>
      <w:r>
        <w:rPr>
          <w:lang w:val="en-GB"/>
        </w:rPr>
        <w:fldChar w:fldCharType="end"/>
      </w:r>
    </w:p>
    <w:p w14:paraId="5B1E3BE4" w14:textId="22BBE4B0" w:rsidR="00A46F1F" w:rsidRDefault="00FF4FC8" w:rsidP="00887854">
      <w:pPr>
        <w:rPr>
          <w:lang w:val="en-GB"/>
        </w:rPr>
      </w:pPr>
      <w:r>
        <w:rPr>
          <w:lang w:val="en-GB"/>
        </w:rPr>
        <w:t xml:space="preserve"> </w:t>
      </w:r>
    </w:p>
    <w:p w14:paraId="0117461B" w14:textId="77777777" w:rsidR="00C77113" w:rsidRPr="00526653" w:rsidRDefault="00C77113" w:rsidP="00FD3822">
      <w:pPr>
        <w:jc w:val="center"/>
        <w:rPr>
          <w:lang w:val="en-GB"/>
        </w:rPr>
      </w:pPr>
    </w:p>
    <w:sectPr w:rsidR="00C77113" w:rsidRPr="0052665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0E21D" w14:textId="77777777" w:rsidR="00776FD4" w:rsidRDefault="00776FD4">
      <w:r>
        <w:separator/>
      </w:r>
    </w:p>
  </w:endnote>
  <w:endnote w:type="continuationSeparator" w:id="0">
    <w:p w14:paraId="437DE137" w14:textId="77777777" w:rsidR="00776FD4" w:rsidRDefault="00776FD4">
      <w:r>
        <w:continuationSeparator/>
      </w:r>
    </w:p>
  </w:endnote>
  <w:endnote w:type="continuationNotice" w:id="1">
    <w:p w14:paraId="5D4F63B0" w14:textId="77777777" w:rsidR="00776FD4" w:rsidRDefault="00776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E4AC9" w:rsidRDefault="006E4A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E4AC9" w:rsidRDefault="006E4AC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E8D5F94" w:rsidR="006E4AC9" w:rsidRDefault="006E4A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2AF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AF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09E2E" w14:textId="77777777" w:rsidR="00776FD4" w:rsidRDefault="00776FD4">
      <w:r>
        <w:separator/>
      </w:r>
    </w:p>
  </w:footnote>
  <w:footnote w:type="continuationSeparator" w:id="0">
    <w:p w14:paraId="3611D32A" w14:textId="77777777" w:rsidR="00776FD4" w:rsidRDefault="00776FD4">
      <w:r>
        <w:continuationSeparator/>
      </w:r>
    </w:p>
  </w:footnote>
  <w:footnote w:type="continuationNotice" w:id="1">
    <w:p w14:paraId="52656B76" w14:textId="77777777" w:rsidR="00776FD4" w:rsidRDefault="00776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E4AC9" w:rsidRDefault="006E4A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2"/>
  </w:num>
  <w:num w:numId="2">
    <w:abstractNumId w:val="2"/>
  </w:num>
  <w:num w:numId="3">
    <w:abstractNumId w:val="20"/>
  </w:num>
  <w:num w:numId="4">
    <w:abstractNumId w:val="1"/>
  </w:num>
  <w:num w:numId="5">
    <w:abstractNumId w:val="9"/>
  </w:num>
  <w:num w:numId="6">
    <w:abstractNumId w:val="32"/>
  </w:num>
  <w:num w:numId="7">
    <w:abstractNumId w:val="15"/>
  </w:num>
  <w:num w:numId="8">
    <w:abstractNumId w:val="17"/>
  </w:num>
  <w:num w:numId="9">
    <w:abstractNumId w:val="13"/>
  </w:num>
  <w:num w:numId="10">
    <w:abstractNumId w:val="27"/>
  </w:num>
  <w:num w:numId="11">
    <w:abstractNumId w:val="4"/>
  </w:num>
  <w:num w:numId="12">
    <w:abstractNumId w:val="10"/>
  </w:num>
  <w:num w:numId="13">
    <w:abstractNumId w:val="5"/>
  </w:num>
  <w:num w:numId="14">
    <w:abstractNumId w:val="6"/>
  </w:num>
  <w:num w:numId="15">
    <w:abstractNumId w:val="22"/>
  </w:num>
  <w:num w:numId="16">
    <w:abstractNumId w:val="25"/>
  </w:num>
  <w:num w:numId="17">
    <w:abstractNumId w:val="8"/>
  </w:num>
  <w:num w:numId="18">
    <w:abstractNumId w:val="33"/>
  </w:num>
  <w:num w:numId="19">
    <w:abstractNumId w:val="23"/>
  </w:num>
  <w:num w:numId="20">
    <w:abstractNumId w:val="26"/>
  </w:num>
  <w:num w:numId="21">
    <w:abstractNumId w:val="7"/>
  </w:num>
  <w:num w:numId="22">
    <w:abstractNumId w:val="31"/>
  </w:num>
  <w:num w:numId="23">
    <w:abstractNumId w:val="29"/>
  </w:num>
  <w:num w:numId="24">
    <w:abstractNumId w:val="18"/>
  </w:num>
  <w:num w:numId="25">
    <w:abstractNumId w:val="0"/>
  </w:num>
  <w:num w:numId="26">
    <w:abstractNumId w:val="3"/>
  </w:num>
  <w:num w:numId="27">
    <w:abstractNumId w:val="28"/>
  </w:num>
  <w:num w:numId="28">
    <w:abstractNumId w:val="19"/>
  </w:num>
  <w:num w:numId="29">
    <w:abstractNumId w:val="16"/>
  </w:num>
  <w:num w:numId="30">
    <w:abstractNumId w:val="24"/>
  </w:num>
  <w:num w:numId="31">
    <w:abstractNumId w:val="11"/>
  </w:num>
  <w:num w:numId="32">
    <w:abstractNumId w:val="34"/>
  </w:num>
  <w:num w:numId="33">
    <w:abstractNumId w:val="14"/>
  </w:num>
  <w:num w:numId="34">
    <w:abstractNumId w:val="21"/>
  </w:num>
  <w:num w:numId="35">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HR33RHYHUWRF-4-1723</_dlc_DocId>
    <_dlc_DocIdUrl xmlns="c06861ca-3f08-4d07-bff7-bb15bac121f4">
      <Url>https://projects.qualcomm.com/sites/pentari/_layouts/15/DocIdRedir.aspx?ID=HR33RHYHUWRF-4-1723</Url>
      <Description>HR33RHYHUWRF-4-1723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57D100B2-1ECA-4ACC-8173-749008978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9</cp:revision>
  <cp:lastPrinted>2010-10-04T23:31:00Z</cp:lastPrinted>
  <dcterms:created xsi:type="dcterms:W3CDTF">2017-02-03T05:40:00Z</dcterms:created>
  <dcterms:modified xsi:type="dcterms:W3CDTF">2017-02-04T05:58:00Z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94cc622f-aed5-4e47-afef-ca011fec0d92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